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39BCFB" w14:textId="4A844423" w:rsidR="006D18D4" w:rsidRDefault="006D18D4" w:rsidP="006D18D4">
      <w:pPr>
        <w:pStyle w:val="Heading1"/>
        <w:spacing w:before="320" w:after="180" w:line="276" w:lineRule="auto"/>
        <w:rPr>
          <w:rFonts w:ascii="Rubik" w:hAnsi="Rubik" w:cs="Rubik"/>
          <w:b/>
          <w:bCs/>
          <w:color w:val="008C3B"/>
          <w:sz w:val="30"/>
          <w:szCs w:val="30"/>
        </w:rPr>
      </w:pPr>
      <w:r>
        <w:rPr>
          <w:rFonts w:ascii="Rubik SemiBold" w:hAnsi="Rubik SemiBold" w:cs="Rubik SemiBold"/>
          <w:b/>
          <w:bCs/>
          <w:noProof/>
          <w:color w:val="000000"/>
        </w:rPr>
        <w:drawing>
          <wp:inline distT="0" distB="0" distL="0" distR="0" wp14:anchorId="79F09075" wp14:editId="1CE2CE98">
            <wp:extent cx="1236436" cy="368300"/>
            <wp:effectExtent l="0" t="0" r="0" b="0"/>
            <wp:docPr id="9298472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47296" name="Picture 9298472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038" cy="36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1DD5A" w14:textId="7937AF07" w:rsidR="00622D89" w:rsidRDefault="003D1F4A" w:rsidP="00532DC4">
      <w:pPr>
        <w:pStyle w:val="Heading1"/>
        <w:spacing w:before="320" w:after="180" w:line="276" w:lineRule="auto"/>
        <w:jc w:val="center"/>
        <w:rPr>
          <w:rFonts w:ascii="Rubik" w:hAnsi="Rubik" w:cs="Rubik"/>
          <w:b/>
          <w:bCs/>
          <w:color w:val="008C3B"/>
          <w:sz w:val="30"/>
          <w:szCs w:val="30"/>
        </w:rPr>
      </w:pPr>
      <w:r>
        <w:rPr>
          <w:rFonts w:ascii="Rubik" w:hAnsi="Rubik" w:cs="Rubik" w:hint="cs"/>
          <w:b/>
          <w:bCs/>
          <w:color w:val="008C3B"/>
          <w:sz w:val="30"/>
          <w:szCs w:val="30"/>
        </w:rPr>
        <w:t xml:space="preserve">Profile Form of the Applicant Territory</w:t>
      </w:r>
    </w:p>
    <w:p w14:paraId="5FC1FA8B" w14:textId="77777777" w:rsidR="006D18D4" w:rsidRPr="006D18D4" w:rsidRDefault="006D18D4" w:rsidP="006D18D4">
      <w:pPr>
        <w:pStyle w:val="Heading1"/>
        <w:spacing w:line="276" w:lineRule="auto"/>
        <w:jc w:val="center"/>
        <w:rPr>
          <w:rFonts w:ascii="Rubik" w:hAnsi="Rubik" w:cs="Rubik" w:hint="cs"/>
          <w:color w:val="008C3B"/>
          <w:sz w:val="18"/>
          <w:szCs w:val="18"/>
        </w:rPr>
      </w:pPr>
    </w:p>
    <w:p w14:paraId="2F6584B6" w14:textId="77777777" w:rsidR="00622D89" w:rsidRDefault="003D1F4A">
      <w:pPr>
        <w:spacing w:after="120" w:line="276" w:lineRule="auto"/>
        <w:jc w:val="both"/>
        <w:rPr>
          <w:rFonts w:ascii="Rubik" w:hAnsi="Rubik" w:cs="Rubik"/>
          <w:color w:val="000000"/>
        </w:rPr>
      </w:pPr>
      <w:r>
        <w:rPr>
          <w:rFonts w:ascii="Rubik" w:hAnsi="Rubik" w:cs="Rubik" w:hint="cs"/>
          <w:color w:val="000000"/>
        </w:rPr>
        <w:t xml:space="preserve">Recommended length — up to 8–10 pages. Where data are unavailable, please state “no data available” rather than leaving the item blank: an omitted item is scored as 0 points, whereas an explicitly stated absence of data allows the realism of the submission to be assessed and will be taken into account when planning data collection.</w:t>
      </w:r>
    </w:p>
    <w:p w14:paraId="10C5FDA9" w14:textId="77777777" w:rsidR="0016163E" w:rsidRPr="005157B3" w:rsidRDefault="0016163E" w:rsidP="006D18D4">
      <w:pPr>
        <w:spacing w:line="276" w:lineRule="auto"/>
        <w:jc w:val="both"/>
        <w:rPr>
          <w:rFonts w:ascii="Rubik" w:hAnsi="Rubik" w:cs="Rubik" w:hint="cs"/>
        </w:rPr>
      </w:pPr>
    </w:p>
    <w:p w14:paraId="64A10ABD" w14:textId="77777777" w:rsidR="00622D89" w:rsidRPr="005157B3" w:rsidRDefault="003D1F4A">
      <w:pPr>
        <w:pStyle w:val="Heading3"/>
        <w:spacing w:before="200" w:after="110" w:line="276" w:lineRule="auto"/>
        <w:rPr>
          <w:rFonts w:ascii="Rubik" w:hAnsi="Rubik" w:cs="Rubik" w:hint="cs"/>
        </w:rPr>
      </w:pPr>
      <w:r>
        <w:rPr>
          <w:rFonts w:ascii="Rubik" w:hAnsi="Rubik" w:cs="Rubik" w:hint="cs"/>
          <w:b/>
          <w:bCs/>
          <w:color w:val="000000"/>
          <w:sz w:val="23"/>
          <w:szCs w:val="23"/>
        </w:rPr>
        <w:t xml:space="preserve">A. General information</w:t>
      </w:r>
    </w:p>
    <w:p w14:paraId="1125DF96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Full name of the territory (community, district, region; for a cluster — the list of communities).</w:t>
      </w:r>
    </w:p>
    <w:p w14:paraId="74FF38AF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Type: city / settlement or rural community / district / region / cluster of communities.</w:t>
      </w:r>
    </w:p>
    <w:p w14:paraId="7E2E7E71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Area, population (including the share of internally displaced persons), number of settlements.</w:t>
      </w:r>
    </w:p>
    <w:p w14:paraId="58B5B268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Ratio of the urban and rural components.</w:t>
      </w:r>
    </w:p>
    <w:p w14:paraId="4D8A1546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Contact person: full name, position, telephone, e-mail, command of English.</w:t>
      </w:r>
    </w:p>
    <w:p w14:paraId="455F01EF" w14:textId="77777777" w:rsidR="00622D89" w:rsidRPr="005157B3" w:rsidRDefault="003D1F4A">
      <w:pPr>
        <w:pStyle w:val="Heading3"/>
        <w:spacing w:before="200" w:after="110" w:line="276" w:lineRule="auto"/>
        <w:rPr>
          <w:rFonts w:ascii="Rubik" w:hAnsi="Rubik" w:cs="Rubik" w:hint="cs"/>
        </w:rPr>
      </w:pPr>
      <w:r>
        <w:rPr>
          <w:rFonts w:ascii="Rubik" w:hAnsi="Rubik" w:cs="Rubik" w:hint="cs"/>
          <w:b/>
          <w:bCs/>
          <w:color w:val="000000"/>
          <w:sz w:val="23"/>
          <w:szCs w:val="23"/>
        </w:rPr>
        <w:t xml:space="preserve">B. Bioresource base</w:t>
      </w:r>
    </w:p>
    <w:p w14:paraId="68DA100E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Structure of the land stock; areas under the main crops; indicative volumes of crop residues.</w:t>
      </w:r>
    </w:p>
    <w:p w14:paraId="10A6C7F3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Livestock numbers by species; existing farm complexes, volumes of manure and poultry litter.</w:t>
      </w:r>
    </w:p>
    <w:p w14:paraId="6951671A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Forest cover, harvesting volumes, presence of wood-processing enterprises and volumes of their residues.</w:t>
      </w:r>
    </w:p>
    <w:p w14:paraId="72ED48A1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Volumes of municipal waste; existence of separate collection, share of the organic fraction.</w:t>
      </w:r>
    </w:p>
    <w:p w14:paraId="14082FD1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Wastewater treatment plants: capacity, volume of sludge and the sludge handling method.</w:t>
      </w:r>
    </w:p>
    <w:p w14:paraId="191F2AFD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Food industry: list of enterprises and the nature of their by-product streams.</w:t>
      </w:r>
    </w:p>
    <w:p w14:paraId="5BC0D904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Existing biomass potential assessments (with a reference to the source and year).</w:t>
      </w:r>
    </w:p>
    <w:p w14:paraId="105255A2" w14:textId="77777777" w:rsidR="00622D89" w:rsidRPr="005157B3" w:rsidRDefault="003D1F4A">
      <w:pPr>
        <w:pStyle w:val="Heading3"/>
        <w:spacing w:before="200" w:after="110" w:line="276" w:lineRule="auto"/>
        <w:rPr>
          <w:rFonts w:ascii="Rubik" w:hAnsi="Rubik" w:cs="Rubik" w:hint="cs"/>
        </w:rPr>
      </w:pPr>
      <w:r>
        <w:rPr>
          <w:rFonts w:ascii="Rubik" w:hAnsi="Rubik" w:cs="Rubik" w:hint="cs"/>
          <w:b/>
          <w:bCs/>
          <w:color w:val="000000"/>
          <w:sz w:val="23"/>
          <w:szCs w:val="23"/>
        </w:rPr>
        <w:t xml:space="preserve">C. Industrial base and business</w:t>
      </w:r>
    </w:p>
    <w:p w14:paraId="41ABDFE6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List of enterprises in the bio-based sectors and related industries, with their capacities.</w:t>
      </w:r>
    </w:p>
    <w:p w14:paraId="79B94F4C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Existing biomass-based renewable energy facilities (boiler houses, biogas plants, pellet production).</w:t>
      </w:r>
    </w:p>
    <w:p w14:paraId="55240128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Number of SMEs, cooperatives and farms; existence of clusters or business associations.</w:t>
      </w:r>
    </w:p>
    <w:p w14:paraId="614D40C2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Industrial sites, brownfield plots, vacant production floorspace.</w:t>
      </w:r>
    </w:p>
    <w:p w14:paraId="6BBA3B86" w14:textId="77777777" w:rsidR="00622D89" w:rsidRPr="005157B3" w:rsidRDefault="003D1F4A">
      <w:pPr>
        <w:pStyle w:val="Heading3"/>
        <w:spacing w:before="200" w:after="110" w:line="276" w:lineRule="auto"/>
        <w:rPr>
          <w:rFonts w:ascii="Rubik" w:hAnsi="Rubik" w:cs="Rubik" w:hint="cs"/>
        </w:rPr>
      </w:pPr>
      <w:r>
        <w:rPr>
          <w:rFonts w:ascii="Rubik" w:hAnsi="Rubik" w:cs="Rubik" w:hint="cs"/>
          <w:b/>
          <w:bCs/>
          <w:color w:val="000000"/>
          <w:sz w:val="23"/>
          <w:szCs w:val="23"/>
        </w:rPr>
        <w:t xml:space="preserve">D. Infrastructure</w:t>
      </w:r>
    </w:p>
    <w:p w14:paraId="628A76D8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Electricity grids: available grid connection capacity, constraints.</w:t>
      </w:r>
    </w:p>
    <w:p w14:paraId="74FE1D59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District heating networks: length, condition, existing and potential heat consumers.</w:t>
      </w:r>
    </w:p>
    <w:p w14:paraId="53B8DA37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Gas distribution networks: availability, technical feasibility of biomethane injection.</w:t>
      </w:r>
    </w:p>
    <w:p w14:paraId="7598459F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lastRenderedPageBreak/>
        <w:t xml:space="preserve">Water supply and wastewater collection; handling of organic waste.</w:t>
      </w:r>
    </w:p>
    <w:p w14:paraId="6DB3D633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Transport: roads, railway access tracks, logistics hubs.</w:t>
      </w:r>
    </w:p>
    <w:p w14:paraId="6E6680FE" w14:textId="39D59491" w:rsidR="005157B3" w:rsidRPr="006D18D4" w:rsidRDefault="003D1F4A" w:rsidP="006D18D4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/>
        </w:rPr>
      </w:pPr>
      <w:r>
        <w:rPr>
          <w:rFonts w:ascii="Rubik" w:hAnsi="Rubik" w:cs="Rubik" w:hint="cs"/>
        </w:rPr>
        <w:t xml:space="preserve">Digital infrastructure: broadband access, availability of GIS systems and cadastres.</w:t>
      </w:r>
    </w:p>
    <w:p w14:paraId="133CF12B" w14:textId="5F26CBD5" w:rsidR="00622D89" w:rsidRPr="005157B3" w:rsidRDefault="003D1F4A">
      <w:pPr>
        <w:pStyle w:val="Heading3"/>
        <w:spacing w:before="200" w:after="110" w:line="276" w:lineRule="auto"/>
        <w:rPr>
          <w:rFonts w:ascii="Rubik" w:hAnsi="Rubik" w:cs="Rubik" w:hint="cs"/>
        </w:rPr>
      </w:pPr>
      <w:r>
        <w:rPr>
          <w:rFonts w:ascii="Rubik" w:hAnsi="Rubik" w:cs="Rubik" w:hint="cs"/>
          <w:b/>
          <w:bCs/>
          <w:color w:val="000000"/>
          <w:sz w:val="23"/>
          <w:szCs w:val="23"/>
        </w:rPr>
        <w:t xml:space="preserve">E. Governance and strategic documents</w:t>
      </w:r>
    </w:p>
    <w:p w14:paraId="23FCA822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Strategic documents in force, with their period of validity (development strategy, SECAP, waste management plan, spatial development plan).</w:t>
      </w:r>
    </w:p>
    <w:p w14:paraId="2ECAEBF5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Structural unit responsible for energy, environment and development; number of specialists.</w:t>
      </w:r>
    </w:p>
    <w:p w14:paraId="39CAD40C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Experience in project implementation (donor, budget, role, year).</w:t>
      </w:r>
    </w:p>
    <w:p w14:paraId="3535931F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Decision-making procedure for amending strategic documents.</w:t>
      </w:r>
    </w:p>
    <w:p w14:paraId="6359E008" w14:textId="77777777" w:rsidR="00622D89" w:rsidRPr="005157B3" w:rsidRDefault="003D1F4A">
      <w:pPr>
        <w:pStyle w:val="Heading3"/>
        <w:spacing w:before="200" w:after="110" w:line="276" w:lineRule="auto"/>
        <w:rPr>
          <w:rFonts w:ascii="Rubik" w:hAnsi="Rubik" w:cs="Rubik" w:hint="cs"/>
        </w:rPr>
      </w:pPr>
      <w:r>
        <w:rPr>
          <w:rFonts w:ascii="Rubik" w:hAnsi="Rubik" w:cs="Rubik" w:hint="cs"/>
          <w:b/>
          <w:bCs/>
          <w:color w:val="000000"/>
          <w:sz w:val="23"/>
          <w:szCs w:val="23"/>
        </w:rPr>
        <w:t xml:space="preserve">F. Stakeholders and the social dimension</w:t>
      </w:r>
    </w:p>
    <w:p w14:paraId="09F46F99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List of potential members of the local platform, indicating the type of organisation and any preliminarily confirmed willingness to participate.</w:t>
      </w:r>
    </w:p>
    <w:p w14:paraId="0169E826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Education institutions located in or near the territory; training profiles.</w:t>
      </w:r>
    </w:p>
    <w:p w14:paraId="56FBA9AF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Experience with public consultations and participatory processes.</w:t>
      </w:r>
    </w:p>
    <w:p w14:paraId="0FA97B0A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Vulnerable groups: internally displaced persons, veterans, households in energy poverty — indicative figures and existing support programmes.</w:t>
      </w:r>
    </w:p>
    <w:p w14:paraId="73E1F31D" w14:textId="77777777" w:rsidR="00622D89" w:rsidRPr="005157B3" w:rsidRDefault="003D1F4A">
      <w:pPr>
        <w:pStyle w:val="Heading3"/>
        <w:spacing w:before="200" w:after="110" w:line="276" w:lineRule="auto"/>
        <w:rPr>
          <w:rFonts w:ascii="Rubik" w:hAnsi="Rubik" w:cs="Rubik" w:hint="cs"/>
        </w:rPr>
      </w:pPr>
      <w:r>
        <w:rPr>
          <w:rFonts w:ascii="Rubik" w:hAnsi="Rubik" w:cs="Rubik" w:hint="cs"/>
          <w:b/>
          <w:bCs/>
          <w:color w:val="000000"/>
          <w:sz w:val="23"/>
          <w:szCs w:val="23"/>
        </w:rPr>
        <w:t xml:space="preserve">G. Security and risks</w:t>
      </w:r>
    </w:p>
    <w:p w14:paraId="3E38A07D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Actual security situation and the operating regime of institutions.</w:t>
      </w:r>
    </w:p>
    <w:p w14:paraId="1D71A61E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Damage to critical infrastructure relevant to bioeconomy scenarios.</w:t>
      </w:r>
    </w:p>
    <w:p w14:paraId="2BFE840C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Constraints on access to data.</w:t>
      </w:r>
    </w:p>
    <w:p w14:paraId="5E1C8E35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Staffing risks and the mitigation measures envisaged.</w:t>
      </w:r>
    </w:p>
    <w:p w14:paraId="08887CE5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Ability to host external experts and to hold events on site.</w:t>
      </w:r>
    </w:p>
    <w:p w14:paraId="772C1768" w14:textId="77777777" w:rsidR="00622D89" w:rsidRPr="005157B3" w:rsidRDefault="003D1F4A">
      <w:pPr>
        <w:pStyle w:val="Heading3"/>
        <w:spacing w:before="200" w:after="110" w:line="276" w:lineRule="auto"/>
        <w:rPr>
          <w:rFonts w:ascii="Rubik" w:hAnsi="Rubik" w:cs="Rubik" w:hint="cs"/>
        </w:rPr>
      </w:pPr>
      <w:r>
        <w:rPr>
          <w:rFonts w:ascii="Rubik" w:hAnsi="Rubik" w:cs="Rubik" w:hint="cs"/>
          <w:b/>
          <w:bCs/>
          <w:color w:val="000000"/>
          <w:sz w:val="23"/>
          <w:szCs w:val="23"/>
        </w:rPr>
        <w:t xml:space="preserve">H. Motivation and contribution</w:t>
      </w:r>
    </w:p>
    <w:p w14:paraId="718AF627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Why the territory seeks to become a “Bioeconomy Place”: the expected outcome in the applicant’s own words (up to 1 page).</w:t>
      </w:r>
    </w:p>
    <w:p w14:paraId="7B121C4B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Project ideas that the territory would like to bring to investment-ready stage.</w:t>
      </w:r>
    </w:p>
    <w:p w14:paraId="00D45945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Resources the territory is ready to contribute (staff working time, premises, transport, access to facilities, co-financing of activities).</w:t>
      </w:r>
    </w:p>
    <w:p w14:paraId="6D714E75" w14:textId="0FDF13F9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</w:rPr>
        <w:t xml:space="preserve">Expectations regarding the role: associated member of the platform, or project beneficiary with its own budget.</w:t>
      </w:r>
    </w:p>
    <w:p w14:paraId="7C0DFA11" w14:textId="15289CB8" w:rsidR="00532DC4" w:rsidRPr="005157B3" w:rsidRDefault="00532DC4" w:rsidP="00532DC4">
      <w:pPr>
        <w:spacing w:after="90" w:line="276" w:lineRule="auto"/>
        <w:jc w:val="both"/>
        <w:rPr>
          <w:rFonts w:ascii="Rubik" w:hAnsi="Rubik" w:cs="Rubik" w:hint="cs"/>
        </w:rPr>
      </w:pPr>
    </w:p>
    <w:p w14:paraId="521106B3" w14:textId="306F5E88" w:rsidR="00532DC4" w:rsidRPr="005157B3" w:rsidRDefault="00532DC4" w:rsidP="00532DC4">
      <w:pPr>
        <w:spacing w:after="90" w:line="276" w:lineRule="auto"/>
        <w:jc w:val="both"/>
        <w:rPr>
          <w:rFonts w:ascii="Rubik" w:hAnsi="Rubik" w:cs="Rubik" w:hint="cs"/>
          <w:b/>
          <w:bCs/>
        </w:rPr>
      </w:pPr>
      <w:r>
        <w:rPr>
          <w:rFonts w:ascii="Rubik" w:hAnsi="Rubik" w:cs="Rubik" w:hint="cs"/>
          <w:b/>
          <w:bCs/>
          <w:highlight w:val="yellow"/>
        </w:rPr>
        <w:t xml:space="preserve">Please send your responses by 30 October 2026 to </w:t>
      </w:r>
      <w:hyperlink r:id="rId6" w:history="1">
        <w:r>
          <w:rPr>
            <w:rStyle w:val="Hyperlink"/>
            <w:rFonts w:ascii="Rubik" w:hAnsi="Rubik" w:cs="Rubik" w:hint="cs"/>
            <w:b/>
            <w:bCs/>
            <w:sz w:val="20"/>
            <w:szCs w:val="20"/>
            <w:highlight w:val="yellow"/>
          </w:rPr>
          <w:t>dragnev@uabio.org</w:t>
        </w:r>
      </w:hyperlink>
      <w:r>
        <w:rPr>
          <w:rStyle w:val="Hyperlink"/>
          <w:rFonts w:ascii="Rubik" w:hAnsi="Rubik" w:cs="Rubik" w:hint="cs"/>
          <w:b/>
          <w:bCs/>
          <w:sz w:val="20"/>
          <w:szCs w:val="20"/>
          <w:highlight w:val="yellow"/>
        </w:rPr>
        <w:t>.</w:t>
      </w:r>
      <w:r>
        <w:rPr>
          <w:rStyle w:val="Hyperlink"/>
          <w:rFonts w:ascii="Rubik" w:hAnsi="Rubik" w:cs="Rubik" w:hint="cs"/>
          <w:b/>
          <w:bCs/>
          <w:sz w:val="20"/>
          <w:szCs w:val="20"/>
        </w:rPr>
        <w:t xml:space="preserve"> </w:t>
      </w:r>
    </w:p>
    <w:p w14:paraId="39295E75" w14:textId="16A0F21A" w:rsidR="0016163E" w:rsidRDefault="0016163E">
      <w:pPr>
        <w:rPr>
          <w:rFonts w:ascii="Rubik Medium" w:hAnsi="Rubik Medium" w:cs="Rubik Medium"/>
          <w:color w:val="008C3B"/>
          <w:sz w:val="25"/>
          <w:szCs w:val="25"/>
        </w:rPr>
      </w:pPr>
      <w:r>
        <w:rPr>
          <w:rFonts w:ascii="Rubik Medium" w:hAnsi="Rubik Medium" w:cs="Rubik Medium"/>
          <w:color w:val="008C3B"/>
          <w:sz w:val="25"/>
          <w:szCs w:val="25"/>
        </w:rPr>
        <w:br w:type="page"/>
      </w:r>
    </w:p>
    <w:p w14:paraId="7C8B5683" w14:textId="54D98DFF" w:rsidR="00532DC4" w:rsidRPr="005157B3" w:rsidRDefault="00532DC4" w:rsidP="00532DC4">
      <w:pPr>
        <w:pStyle w:val="Heading2"/>
        <w:spacing w:before="260" w:after="140" w:line="276" w:lineRule="auto"/>
        <w:rPr>
          <w:rFonts w:ascii="Rubik Medium" w:hAnsi="Rubik Medium" w:cs="Rubik Medium" w:hint="cs"/>
          <w:color w:val="008C3B"/>
        </w:rPr>
      </w:pPr>
      <w:r>
        <w:rPr>
          <w:rFonts w:ascii="Rubik Medium" w:hAnsi="Rubik Medium" w:cs="Rubik Medium" w:hint="cs"/>
          <w:color w:val="008C3B"/>
          <w:sz w:val="25"/>
          <w:szCs w:val="25"/>
        </w:rPr>
        <w:lastRenderedPageBreak/>
        <w:t xml:space="preserve">Contacts</w:t>
      </w:r>
    </w:p>
    <w:p w14:paraId="0882DA7A" w14:textId="77777777" w:rsidR="00532DC4" w:rsidRPr="005157B3" w:rsidRDefault="00532DC4" w:rsidP="00532DC4">
      <w:pPr>
        <w:spacing w:after="12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  <w:color w:val="000000"/>
        </w:rPr>
        <w:t xml:space="preserve">Bioenergy Association of Ukraine (UABIO)</w:t>
      </w:r>
    </w:p>
    <w:p w14:paraId="1F04299A" w14:textId="77777777" w:rsidR="00532DC4" w:rsidRPr="005157B3" w:rsidRDefault="00532DC4" w:rsidP="00532DC4">
      <w:pPr>
        <w:spacing w:after="12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  <w:color w:val="000000"/>
        </w:rPr>
        <w:t xml:space="preserve">Contact person: Semen Drahniev, Senior Consultant </w:t>
      </w:r>
    </w:p>
    <w:p w14:paraId="7DBCC405" w14:textId="77777777" w:rsidR="00532DC4" w:rsidRPr="005157B3" w:rsidRDefault="00532DC4" w:rsidP="00532DC4">
      <w:pPr>
        <w:spacing w:after="12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  <w:color w:val="000000"/>
        </w:rPr>
        <w:t xml:space="preserve">E-mail: </w:t>
      </w:r>
      <w:hyperlink r:id="rId7" w:history="1">
        <w:r>
          <w:rPr>
            <w:rStyle w:val="Hyperlink"/>
            <w:rFonts w:ascii="Rubik" w:hAnsi="Rubik" w:cs="Rubik" w:hint="cs"/>
            <w:sz w:val="20"/>
            <w:szCs w:val="20"/>
          </w:rPr>
          <w:t>dragnev@uabio.org</w:t>
        </w:r>
      </w:hyperlink>
      <w:r>
        <w:rPr>
          <w:rFonts w:ascii="Rubik" w:hAnsi="Rubik" w:cs="Rubik" w:hint="cs"/>
          <w:color w:val="000000"/>
          <w:sz w:val="20"/>
          <w:szCs w:val="20"/>
        </w:rPr>
        <w:t xml:space="preserve"> </w:t>
      </w:r>
      <w:r>
        <w:rPr>
          <w:rFonts w:ascii="Rubik" w:hAnsi="Rubik" w:cs="Rubik" w:hint="cs"/>
          <w:color w:val="000000"/>
        </w:rPr>
        <w:t xml:space="preserve">· Tel.: +380 66 324 8480</w:t>
      </w:r>
    </w:p>
    <w:p w14:paraId="4DB8F42B" w14:textId="77777777" w:rsidR="00532DC4" w:rsidRPr="005157B3" w:rsidRDefault="00532DC4" w:rsidP="00532DC4">
      <w:pPr>
        <w:spacing w:after="120" w:line="276" w:lineRule="auto"/>
        <w:jc w:val="both"/>
        <w:rPr>
          <w:rFonts w:ascii="Rubik" w:hAnsi="Rubik" w:cs="Rubik" w:hint="cs"/>
          <w:color w:val="000000"/>
        </w:rPr>
      </w:pPr>
      <w:r>
        <w:rPr>
          <w:rFonts w:ascii="Rubik" w:hAnsi="Rubik" w:cs="Rubik" w:hint="cs"/>
          <w:color w:val="000000"/>
        </w:rPr>
        <w:t xml:space="preserve">Website: </w:t>
      </w:r>
      <w:hyperlink r:id="rId8" w:history="1">
        <w:r>
          <w:rPr>
            <w:rStyle w:val="Hyperlink"/>
            <w:rFonts w:ascii="Rubik" w:hAnsi="Rubik" w:cs="Rubik" w:hint="cs"/>
          </w:rPr>
          <w:t>www.uabio.org</w:t>
        </w:r>
      </w:hyperlink>
      <w:r>
        <w:rPr>
          <w:rFonts w:ascii="Rubik" w:hAnsi="Rubik" w:cs="Rubik" w:hint="cs"/>
          <w:color w:val="000000"/>
        </w:rPr>
        <w:t xml:space="preserve">  </w:t>
      </w:r>
    </w:p>
    <w:p w14:paraId="2A2D42BD" w14:textId="77777777" w:rsidR="005157B3" w:rsidRDefault="00532DC4" w:rsidP="00532DC4">
      <w:pPr>
        <w:spacing w:after="120" w:line="276" w:lineRule="auto"/>
        <w:jc w:val="both"/>
        <w:rPr>
          <w:rFonts w:ascii="Rubik" w:hAnsi="Rubik" w:cs="Rubik"/>
          <w:color w:val="000000"/>
        </w:rPr>
      </w:pPr>
      <w:r>
        <w:rPr>
          <w:rFonts w:ascii="Rubik" w:hAnsi="Rubik" w:cs="Rubik" w:hint="cs"/>
          <w:color w:val="000000"/>
        </w:rPr>
        <w:t xml:space="preserve">Topic page on the EC portal:</w:t>
      </w:r>
    </w:p>
    <w:p w14:paraId="4B7BF54E" w14:textId="15133924" w:rsidR="00532DC4" w:rsidRPr="005157B3" w:rsidRDefault="005157B3" w:rsidP="00532DC4">
      <w:pPr>
        <w:spacing w:after="120" w:line="276" w:lineRule="auto"/>
        <w:jc w:val="both"/>
        <w:rPr>
          <w:rFonts w:ascii="Rubik" w:hAnsi="Rubik" w:cs="Rubik" w:hint="cs"/>
        </w:rPr>
      </w:pPr>
      <w:hyperlink r:id="rId9" w:history="1">
        <w:r>
          <w:rPr>
            <w:rStyle w:val="Hyperlink"/>
            <w:rFonts w:ascii="Rubik" w:hAnsi="Rubik" w:cs="Rubik"/>
          </w:rPr>
          <w:t>https://ec.europa.eu/info/funding-tenders/opportunities/portal/screen/opportunities/topic-details/HORIZON-CL6-2027-01-CIRCBIO-06</w:t>
        </w:r>
      </w:hyperlink>
      <w:r>
        <w:rPr>
          <w:rFonts w:ascii="Rubik" w:hAnsi="Rubik" w:cs="Rubik" w:hint="cs"/>
          <w:color w:val="000000"/>
        </w:rPr>
        <w:t xml:space="preserve"> </w:t>
      </w:r>
    </w:p>
    <w:p w14:paraId="62F56E0A" w14:textId="4DA43608" w:rsidR="00532DC4" w:rsidRPr="005157B3" w:rsidRDefault="00532DC4" w:rsidP="00532DC4">
      <w:pPr>
        <w:spacing w:after="120" w:line="276" w:lineRule="auto"/>
        <w:jc w:val="both"/>
        <w:rPr>
          <w:rFonts w:ascii="Rubik" w:hAnsi="Rubik" w:cs="Rubik" w:hint="cs"/>
        </w:rPr>
      </w:pPr>
      <w:r>
        <w:rPr>
          <w:rFonts w:ascii="Rubik" w:hAnsi="Rubik" w:cs="Rubik" w:hint="cs"/>
          <w:color w:val="000000"/>
        </w:rPr>
        <w:t xml:space="preserve">Consultations for prospective candidates are provided on an individual basis until the application deadline.</w:t>
      </w:r>
    </w:p>
    <w:sectPr w:rsidR="00532DC4" w:rsidRPr="005157B3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panose1 w:val="020B0604020202020204"/>
    <w:charset w:val="B1"/>
    <w:family w:val="auto"/>
    <w:pitch w:val="variable"/>
    <w:sig w:usb0="A0000A6F" w:usb1="4000205B" w:usb2="00000000" w:usb3="00000000" w:csb0="000000B7" w:csb1="00000000"/>
  </w:font>
  <w:font w:name="Rubik SemiBold">
    <w:panose1 w:val="00000000000000000000"/>
    <w:charset w:val="B1"/>
    <w:family w:val="auto"/>
    <w:pitch w:val="variable"/>
    <w:sig w:usb0="A0000A6F" w:usb1="4000205B" w:usb2="00000000" w:usb3="00000000" w:csb0="000000B7" w:csb1="00000000"/>
  </w:font>
  <w:font w:name="Rubik Medium">
    <w:panose1 w:val="020B0604020202020204"/>
    <w:charset w:val="B1"/>
    <w:family w:val="auto"/>
    <w:pitch w:val="variable"/>
    <w:sig w:usb0="A0000A6F" w:usb1="4000205B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8467CD"/>
    <w:multiLevelType w:val="hybridMultilevel"/>
    <w:tmpl w:val="DE5E583A"/>
    <w:lvl w:ilvl="0" w:tplc="033EB524">
      <w:start w:val="1"/>
      <w:numFmt w:val="bullet"/>
      <w:lvlText w:val="•"/>
      <w:lvlJc w:val="left"/>
      <w:pPr>
        <w:ind w:left="454" w:hanging="227"/>
      </w:pPr>
    </w:lvl>
    <w:lvl w:ilvl="1" w:tplc="D16E0204">
      <w:start w:val="1"/>
      <w:numFmt w:val="bullet"/>
      <w:lvlText w:val="–"/>
      <w:lvlJc w:val="left"/>
      <w:pPr>
        <w:ind w:left="907" w:hanging="227"/>
      </w:pPr>
    </w:lvl>
    <w:lvl w:ilvl="2" w:tplc="D1F66274">
      <w:numFmt w:val="decimal"/>
      <w:lvlText w:val=""/>
      <w:lvlJc w:val="left"/>
    </w:lvl>
    <w:lvl w:ilvl="3" w:tplc="92D22F6E">
      <w:numFmt w:val="decimal"/>
      <w:lvlText w:val=""/>
      <w:lvlJc w:val="left"/>
    </w:lvl>
    <w:lvl w:ilvl="4" w:tplc="1FA8B62E">
      <w:numFmt w:val="decimal"/>
      <w:lvlText w:val=""/>
      <w:lvlJc w:val="left"/>
    </w:lvl>
    <w:lvl w:ilvl="5" w:tplc="A126D3DC">
      <w:numFmt w:val="decimal"/>
      <w:lvlText w:val=""/>
      <w:lvlJc w:val="left"/>
    </w:lvl>
    <w:lvl w:ilvl="6" w:tplc="1DDCDE70">
      <w:numFmt w:val="decimal"/>
      <w:lvlText w:val=""/>
      <w:lvlJc w:val="left"/>
    </w:lvl>
    <w:lvl w:ilvl="7" w:tplc="198A09BC">
      <w:numFmt w:val="decimal"/>
      <w:lvlText w:val=""/>
      <w:lvlJc w:val="left"/>
    </w:lvl>
    <w:lvl w:ilvl="8" w:tplc="F1A6FAE2">
      <w:numFmt w:val="decimal"/>
      <w:lvlText w:val=""/>
      <w:lvlJc w:val="left"/>
    </w:lvl>
  </w:abstractNum>
  <w:abstractNum w:abstractNumId="1" w15:restartNumberingAfterBreak="0">
    <w:nsid w:val="6639568C"/>
    <w:multiLevelType w:val="hybridMultilevel"/>
    <w:tmpl w:val="08840A5E"/>
    <w:lvl w:ilvl="0" w:tplc="16AC3636">
      <w:start w:val="1"/>
      <w:numFmt w:val="bullet"/>
      <w:lvlText w:val="●"/>
      <w:lvlJc w:val="left"/>
      <w:pPr>
        <w:ind w:left="720" w:hanging="360"/>
      </w:pPr>
    </w:lvl>
    <w:lvl w:ilvl="1" w:tplc="3FDA1E5C">
      <w:start w:val="1"/>
      <w:numFmt w:val="bullet"/>
      <w:lvlText w:val="○"/>
      <w:lvlJc w:val="left"/>
      <w:pPr>
        <w:ind w:left="1440" w:hanging="360"/>
      </w:pPr>
    </w:lvl>
    <w:lvl w:ilvl="2" w:tplc="F6440E9E">
      <w:start w:val="1"/>
      <w:numFmt w:val="bullet"/>
      <w:lvlText w:val="■"/>
      <w:lvlJc w:val="left"/>
      <w:pPr>
        <w:ind w:left="2160" w:hanging="360"/>
      </w:pPr>
    </w:lvl>
    <w:lvl w:ilvl="3" w:tplc="34866E94">
      <w:start w:val="1"/>
      <w:numFmt w:val="bullet"/>
      <w:lvlText w:val="●"/>
      <w:lvlJc w:val="left"/>
      <w:pPr>
        <w:ind w:left="2880" w:hanging="360"/>
      </w:pPr>
    </w:lvl>
    <w:lvl w:ilvl="4" w:tplc="82C2D636">
      <w:start w:val="1"/>
      <w:numFmt w:val="bullet"/>
      <w:lvlText w:val="○"/>
      <w:lvlJc w:val="left"/>
      <w:pPr>
        <w:ind w:left="3600" w:hanging="360"/>
      </w:pPr>
    </w:lvl>
    <w:lvl w:ilvl="5" w:tplc="4E9C35E6">
      <w:start w:val="1"/>
      <w:numFmt w:val="bullet"/>
      <w:lvlText w:val="■"/>
      <w:lvlJc w:val="left"/>
      <w:pPr>
        <w:ind w:left="4320" w:hanging="360"/>
      </w:pPr>
    </w:lvl>
    <w:lvl w:ilvl="6" w:tplc="27E8393C">
      <w:start w:val="1"/>
      <w:numFmt w:val="bullet"/>
      <w:lvlText w:val="●"/>
      <w:lvlJc w:val="left"/>
      <w:pPr>
        <w:ind w:left="5040" w:hanging="360"/>
      </w:pPr>
    </w:lvl>
    <w:lvl w:ilvl="7" w:tplc="3198DB74">
      <w:start w:val="1"/>
      <w:numFmt w:val="bullet"/>
      <w:lvlText w:val="●"/>
      <w:lvlJc w:val="left"/>
      <w:pPr>
        <w:ind w:left="5760" w:hanging="360"/>
      </w:pPr>
    </w:lvl>
    <w:lvl w:ilvl="8" w:tplc="97B44220">
      <w:start w:val="1"/>
      <w:numFmt w:val="bullet"/>
      <w:lvlText w:val="●"/>
      <w:lvlJc w:val="left"/>
      <w:pPr>
        <w:ind w:left="6480" w:hanging="360"/>
      </w:pPr>
    </w:lvl>
  </w:abstractNum>
  <w:num w:numId="1" w16cid:durableId="1865633964">
    <w:abstractNumId w:val="1"/>
    <w:lvlOverride w:ilvl="0">
      <w:startOverride w:val="1"/>
    </w:lvlOverride>
  </w:num>
  <w:num w:numId="2" w16cid:durableId="878950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D89"/>
    <w:rsid w:val="00083F68"/>
    <w:rsid w:val="00160C92"/>
    <w:rsid w:val="0016163E"/>
    <w:rsid w:val="001951FD"/>
    <w:rsid w:val="003D1F4A"/>
    <w:rsid w:val="00481783"/>
    <w:rsid w:val="005157B3"/>
    <w:rsid w:val="00532DC4"/>
    <w:rsid w:val="00622D89"/>
    <w:rsid w:val="00646666"/>
    <w:rsid w:val="006D18D4"/>
    <w:rsid w:val="007440CC"/>
    <w:rsid w:val="007E67F4"/>
    <w:rsid w:val="00982478"/>
    <w:rsid w:val="00A374DC"/>
    <w:rsid w:val="00AD3A75"/>
    <w:rsid w:val="00B40430"/>
    <w:rsid w:val="00BC4188"/>
    <w:rsid w:val="00C23745"/>
    <w:rsid w:val="00C9788D"/>
    <w:rsid w:val="00E74C0D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501F36"/>
  <w15:docId w15:val="{E92A9A73-C744-4160-AD9D-162DAC89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1">
    <w:name w:val="Строгий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824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io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agnev@uabi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agnev@uabio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info/funding-tenders/opportunities/portal/screen/opportunities/topic-details/HORIZON-CL6-2027-01-CIRCBIO-0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511</Words>
  <Characters>3928</Characters>
  <Application>Microsoft Office Word</Application>
  <DocSecurity>0</DocSecurity>
  <Lines>75</Lines>
  <Paragraphs>67</Paragraphs>
  <ScaleCrop>false</ScaleCrop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Dmytro Brif</cp:lastModifiedBy>
  <cp:revision>4</cp:revision>
  <cp:lastPrinted>2026-08-13T11:40:00Z</cp:lastPrinted>
  <dcterms:created xsi:type="dcterms:W3CDTF">2026-08-13T11:40:00Z</dcterms:created>
  <dcterms:modified xsi:type="dcterms:W3CDTF">2026-08-13T11:43:00Z</dcterms:modified>
</cp:coreProperties>
</file>